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88" w:rsidRDefault="00857088" w:rsidP="00857088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857088">
        <w:rPr>
          <w:b/>
          <w:sz w:val="28"/>
          <w:szCs w:val="28"/>
        </w:rPr>
        <w:t>Типичные ошибки кадастровых инженеров за январь</w:t>
      </w:r>
    </w:p>
    <w:p w:rsidR="00857088" w:rsidRPr="00E52558" w:rsidRDefault="00857088" w:rsidP="00857088">
      <w:pPr>
        <w:spacing w:after="0" w:line="240" w:lineRule="auto"/>
        <w:rPr>
          <w:b/>
          <w:sz w:val="28"/>
          <w:szCs w:val="28"/>
        </w:rPr>
      </w:pPr>
    </w:p>
    <w:p w:rsidR="00857088" w:rsidRPr="00E60FCD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E60FCD">
        <w:rPr>
          <w:sz w:val="24"/>
          <w:szCs w:val="24"/>
        </w:rPr>
        <w:t xml:space="preserve">С целью сокращения количества решений о приостановлении (отказе) в осуществлении государственного кадастрового учета объектов недвижимости </w:t>
      </w:r>
      <w:hyperlink r:id="rId8" w:history="1">
        <w:r w:rsidRPr="007E5486">
          <w:rPr>
            <w:rStyle w:val="a9"/>
            <w:sz w:val="24"/>
            <w:szCs w:val="24"/>
          </w:rPr>
          <w:t>Кадастровая палата по Новосибирской области</w:t>
        </w:r>
      </w:hyperlink>
      <w:r w:rsidRPr="00E60FCD">
        <w:rPr>
          <w:sz w:val="24"/>
          <w:szCs w:val="24"/>
        </w:rPr>
        <w:t xml:space="preserve"> </w:t>
      </w:r>
      <w:r>
        <w:rPr>
          <w:sz w:val="24"/>
          <w:szCs w:val="24"/>
        </w:rPr>
        <w:t>каждый месяц</w:t>
      </w:r>
      <w:r w:rsidRPr="00E60FCD">
        <w:rPr>
          <w:sz w:val="24"/>
          <w:szCs w:val="24"/>
        </w:rPr>
        <w:t xml:space="preserve"> анализирует ошибки, допущенные кадастровыми инженерами при подготовке необходимых для процедуры документов. </w:t>
      </w:r>
      <w:r>
        <w:rPr>
          <w:sz w:val="24"/>
          <w:szCs w:val="24"/>
        </w:rPr>
        <w:t>Представляем</w:t>
      </w:r>
      <w:r w:rsidRPr="00E60FCD">
        <w:rPr>
          <w:sz w:val="24"/>
          <w:szCs w:val="24"/>
        </w:rPr>
        <w:t xml:space="preserve"> типичны</w:t>
      </w:r>
      <w:r>
        <w:rPr>
          <w:sz w:val="24"/>
          <w:szCs w:val="24"/>
        </w:rPr>
        <w:t>е</w:t>
      </w:r>
      <w:r w:rsidRPr="00E60FCD">
        <w:rPr>
          <w:sz w:val="24"/>
          <w:szCs w:val="24"/>
        </w:rPr>
        <w:t xml:space="preserve"> ошибк</w:t>
      </w:r>
      <w:r>
        <w:rPr>
          <w:sz w:val="24"/>
          <w:szCs w:val="24"/>
        </w:rPr>
        <w:t>и</w:t>
      </w:r>
      <w:r w:rsidRPr="00E60FCD">
        <w:rPr>
          <w:sz w:val="24"/>
          <w:szCs w:val="24"/>
        </w:rPr>
        <w:t xml:space="preserve"> кадастровых инженеров, допущенны</w:t>
      </w:r>
      <w:r>
        <w:rPr>
          <w:sz w:val="24"/>
          <w:szCs w:val="24"/>
        </w:rPr>
        <w:t>е</w:t>
      </w:r>
      <w:r w:rsidRPr="00E60FCD">
        <w:rPr>
          <w:sz w:val="24"/>
          <w:szCs w:val="24"/>
        </w:rPr>
        <w:t xml:space="preserve"> в </w:t>
      </w:r>
      <w:r>
        <w:rPr>
          <w:sz w:val="24"/>
          <w:szCs w:val="24"/>
        </w:rPr>
        <w:t>январе</w:t>
      </w:r>
      <w:r w:rsidRPr="00E60F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1. Неверно указан номер кадастрового квартала, в пределах которого располагается образуемый земельный участок.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2. Вид разрешенного использования земельного участка, указанный в межевом плане, противоречит перечню основных видов разрешенного использования соответствующей территориальной зоны согласно правилам землепользования и застройки.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3. В разделе «Заключение кадастрового инженера» межевого плана не приводятся или приводятся некорректно обоснования изменения площади, конфигурации земельного участка, местоположения уточненных границ. При подготовке межевого плана в связи с исправлением реестровой ошибки отсутствуют предложения кадастрового инженера по устранению выявленных в ЕГРН ошибок, в том числе результаты необходимых измерений.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4. В межевом плане отсутствуют сведения о смежных земельных участках и (или) сведения о документах, подтверждающих право гражданина на смежный земельный участок</w:t>
      </w:r>
      <w:r>
        <w:rPr>
          <w:sz w:val="24"/>
          <w:szCs w:val="24"/>
        </w:rPr>
        <w:t>.</w:t>
      </w:r>
      <w:r w:rsidRPr="00770B31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770B31">
        <w:rPr>
          <w:sz w:val="24"/>
          <w:szCs w:val="24"/>
        </w:rPr>
        <w:t>ведения о смежных земельных участках в акте согласования местоположения границ противоречат сведениям о смежных земельных участках, указанным в межевом плане.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 xml:space="preserve">5. В состав приложения не включаются документы, определяющие (определявшие) местоположение границ образуемого (уточняемого) земельного участка, а также документы, использованные кадастровым инженером при проведении кадастровых работ. </w:t>
      </w:r>
    </w:p>
    <w:p w:rsidR="00857088" w:rsidRPr="00770B31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6. В составе технического плана, подготовленного до вступления в силу ФЗ № 340 в отношении объекта незавершенного строительства, индивидуального жилого дома, отсутствует разрешение на строительство, использование которого предусмотрено ФЗ №218.</w:t>
      </w:r>
    </w:p>
    <w:p w:rsidR="00857088" w:rsidRDefault="00857088" w:rsidP="00857088">
      <w:pPr>
        <w:spacing w:after="0" w:line="240" w:lineRule="auto"/>
        <w:ind w:firstLine="709"/>
        <w:rPr>
          <w:sz w:val="24"/>
          <w:szCs w:val="24"/>
        </w:rPr>
      </w:pPr>
      <w:r w:rsidRPr="00770B31">
        <w:rPr>
          <w:sz w:val="24"/>
          <w:szCs w:val="24"/>
        </w:rPr>
        <w:t>7. В разделе «Заключение кадастрового инженера» технического плана, подготовленного с целью исправления реестровой ошибки в сведениях ЕГРН, отсутствует обоснование такой ошибки, выявленной в ходе кадастровых работ.</w:t>
      </w:r>
    </w:p>
    <w:p w:rsidR="00857088" w:rsidRDefault="00857088" w:rsidP="00857088">
      <w:pPr>
        <w:spacing w:after="0" w:line="240" w:lineRule="auto"/>
        <w:ind w:firstLine="709"/>
        <w:rPr>
          <w:sz w:val="24"/>
          <w:szCs w:val="24"/>
        </w:rPr>
      </w:pPr>
    </w:p>
    <w:p w:rsidR="00857088" w:rsidRPr="00857088" w:rsidRDefault="00857088" w:rsidP="00857088">
      <w:pPr>
        <w:spacing w:after="0" w:line="240" w:lineRule="auto"/>
        <w:ind w:firstLine="709"/>
        <w:jc w:val="right"/>
        <w:rPr>
          <w:i/>
          <w:sz w:val="20"/>
          <w:szCs w:val="20"/>
        </w:rPr>
      </w:pPr>
      <w:r w:rsidRPr="00857088">
        <w:rPr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347-59-49</w:t>
    </w:r>
  </w:p>
  <w:p w:rsidR="006C740B" w:rsidRPr="006C740B" w:rsidRDefault="00C828C5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C828C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C828C5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266DBD"/>
    <w:rsid w:val="002866C7"/>
    <w:rsid w:val="002D2570"/>
    <w:rsid w:val="00353854"/>
    <w:rsid w:val="00355586"/>
    <w:rsid w:val="003E6480"/>
    <w:rsid w:val="00405FF5"/>
    <w:rsid w:val="004126C1"/>
    <w:rsid w:val="004D7657"/>
    <w:rsid w:val="00543941"/>
    <w:rsid w:val="00551784"/>
    <w:rsid w:val="005A415E"/>
    <w:rsid w:val="0065402A"/>
    <w:rsid w:val="006C740B"/>
    <w:rsid w:val="007B12EB"/>
    <w:rsid w:val="007E5486"/>
    <w:rsid w:val="00806C7D"/>
    <w:rsid w:val="00831045"/>
    <w:rsid w:val="00831792"/>
    <w:rsid w:val="00857088"/>
    <w:rsid w:val="00864160"/>
    <w:rsid w:val="00A26900"/>
    <w:rsid w:val="00A7059D"/>
    <w:rsid w:val="00A8510D"/>
    <w:rsid w:val="00AF5AB7"/>
    <w:rsid w:val="00B94D63"/>
    <w:rsid w:val="00C828C5"/>
    <w:rsid w:val="00CB2D01"/>
    <w:rsid w:val="00D82973"/>
    <w:rsid w:val="00E05B96"/>
    <w:rsid w:val="00EC76E5"/>
    <w:rsid w:val="00F07814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dastr_ns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FE943-20EA-4179-8E31-2BCD3A13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37</cp:revision>
  <dcterms:created xsi:type="dcterms:W3CDTF">2016-04-07T02:40:00Z</dcterms:created>
  <dcterms:modified xsi:type="dcterms:W3CDTF">2019-02-18T06:53:00Z</dcterms:modified>
</cp:coreProperties>
</file>